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07EBA" w:rsidRPr="00007EBA" w:rsidRDefault="00007EBA" w:rsidP="00007EBA">
      <w:pPr>
        <w:spacing w:after="0"/>
        <w:jc w:val="center"/>
        <w:rPr>
          <w:rFonts w:ascii="Trebuchet MS" w:eastAsiaTheme="minorEastAsia" w:hAnsi="Trebuchet MS"/>
          <w:b/>
          <w:color w:val="000000"/>
          <w:sz w:val="22"/>
          <w:u w:val="single"/>
        </w:rPr>
      </w:pPr>
      <w:r w:rsidRPr="00007EBA">
        <w:rPr>
          <w:rFonts w:ascii="Trebuchet MS" w:eastAsiaTheme="minorEastAsia" w:hAnsi="Trebuchet MS"/>
          <w:b/>
          <w:color w:val="000000"/>
          <w:sz w:val="22"/>
          <w:u w:val="single"/>
        </w:rPr>
        <w:t>Providing Alcoholic Beverages for Events in the Murphy Building</w:t>
      </w:r>
    </w:p>
    <w:p w:rsidR="00007EBA" w:rsidRPr="00007EBA" w:rsidRDefault="00007EBA" w:rsidP="00007EBA">
      <w:pPr>
        <w:spacing w:after="0"/>
        <w:jc w:val="center"/>
        <w:rPr>
          <w:rFonts w:ascii="Trebuchet MS" w:eastAsiaTheme="minorEastAsia" w:hAnsi="Trebuchet MS"/>
          <w:b/>
          <w:color w:val="000000"/>
          <w:sz w:val="22"/>
        </w:rPr>
      </w:pPr>
      <w:r w:rsidRPr="00007EBA">
        <w:rPr>
          <w:rFonts w:ascii="Trebuchet MS" w:eastAsiaTheme="minorEastAsia" w:hAnsi="Trebuchet MS"/>
          <w:b/>
          <w:color w:val="000000"/>
          <w:sz w:val="22"/>
        </w:rPr>
        <w:t>An Outline</w:t>
      </w:r>
    </w:p>
    <w:p w:rsidR="00007EBA" w:rsidRPr="00007EBA" w:rsidRDefault="00007EBA" w:rsidP="00007EBA">
      <w:pPr>
        <w:spacing w:after="0"/>
        <w:rPr>
          <w:rFonts w:ascii="Trebuchet MS" w:eastAsiaTheme="minorEastAsia" w:hAnsi="Trebuchet MS"/>
          <w:b/>
          <w:color w:val="000000"/>
          <w:sz w:val="22"/>
        </w:rPr>
      </w:pPr>
    </w:p>
    <w:p w:rsidR="00007EBA" w:rsidRPr="00007EBA" w:rsidRDefault="00007EBA" w:rsidP="00007EBA">
      <w:pPr>
        <w:spacing w:after="0"/>
        <w:rPr>
          <w:rFonts w:ascii="Trebuchet MS" w:eastAsiaTheme="minorEastAsia" w:hAnsi="Trebuchet MS"/>
          <w:color w:val="000000"/>
          <w:sz w:val="22"/>
        </w:rPr>
      </w:pPr>
      <w:r w:rsidRPr="00007EBA">
        <w:rPr>
          <w:rFonts w:ascii="Trebuchet MS" w:eastAsiaTheme="minorEastAsia" w:hAnsi="Trebuchet MS"/>
          <w:color w:val="000000"/>
          <w:sz w:val="22"/>
        </w:rPr>
        <w:t>Event hosts who are Hospitality Committee members are primarily responsible for providing alcoholic beverages at dinners and receptions in the Murphy building, although Hendrix Catering Services staff may assist with serving beverages and in some cases with purchasing and storing them.</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rPr>
          <w:rFonts w:ascii="Trebuchet MS" w:eastAsiaTheme="minorEastAsia" w:hAnsi="Trebuchet MS"/>
          <w:color w:val="000000"/>
          <w:sz w:val="22"/>
          <w:u w:val="single"/>
        </w:rPr>
      </w:pPr>
      <w:r w:rsidRPr="00007EBA">
        <w:rPr>
          <w:rFonts w:ascii="Trebuchet MS" w:eastAsiaTheme="minorEastAsia" w:hAnsi="Trebuchet MS"/>
          <w:color w:val="000000"/>
          <w:sz w:val="22"/>
          <w:u w:val="single"/>
        </w:rPr>
        <w:t xml:space="preserve">Host and </w:t>
      </w:r>
      <w:proofErr w:type="gramStart"/>
      <w:r w:rsidRPr="00007EBA">
        <w:rPr>
          <w:rFonts w:ascii="Trebuchet MS" w:eastAsiaTheme="minorEastAsia" w:hAnsi="Trebuchet MS"/>
          <w:color w:val="000000"/>
          <w:sz w:val="22"/>
          <w:u w:val="single"/>
        </w:rPr>
        <w:t>Catering</w:t>
      </w:r>
      <w:proofErr w:type="gramEnd"/>
      <w:r w:rsidRPr="00007EBA">
        <w:rPr>
          <w:rFonts w:ascii="Trebuchet MS" w:eastAsiaTheme="minorEastAsia" w:hAnsi="Trebuchet MS"/>
          <w:color w:val="000000"/>
          <w:sz w:val="22"/>
          <w:u w:val="single"/>
        </w:rPr>
        <w:t xml:space="preserve"> staff responsibilities</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 xml:space="preserve">Hosts and </w:t>
      </w:r>
      <w:proofErr w:type="gramStart"/>
      <w:r w:rsidRPr="00007EBA">
        <w:rPr>
          <w:rFonts w:ascii="Trebuchet MS" w:eastAsiaTheme="minorEastAsia" w:hAnsi="Trebuchet MS"/>
          <w:color w:val="000000"/>
          <w:sz w:val="22"/>
        </w:rPr>
        <w:t>Catering</w:t>
      </w:r>
      <w:proofErr w:type="gramEnd"/>
      <w:r w:rsidRPr="00007EBA">
        <w:rPr>
          <w:rFonts w:ascii="Trebuchet MS" w:eastAsiaTheme="minorEastAsia" w:hAnsi="Trebuchet MS"/>
          <w:color w:val="000000"/>
          <w:sz w:val="22"/>
        </w:rPr>
        <w:t xml:space="preserve"> staff must abide by legal possession limits in a dry county*</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Hosts will purchase beverages for an event and take responsibility for delivering them before the event and collecting them afterwards.</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 xml:space="preserve">If more than the individual legal limit is required for an event, Catering staff </w:t>
      </w:r>
      <w:proofErr w:type="gramStart"/>
      <w:r w:rsidRPr="00007EBA">
        <w:rPr>
          <w:rFonts w:ascii="Trebuchet MS" w:eastAsiaTheme="minorEastAsia" w:hAnsi="Trebuchet MS"/>
          <w:color w:val="000000"/>
          <w:sz w:val="22"/>
        </w:rPr>
        <w:t>who</w:t>
      </w:r>
      <w:proofErr w:type="gramEnd"/>
      <w:r w:rsidRPr="00007EBA">
        <w:rPr>
          <w:rFonts w:ascii="Trebuchet MS" w:eastAsiaTheme="minorEastAsia" w:hAnsi="Trebuchet MS"/>
          <w:color w:val="000000"/>
          <w:sz w:val="22"/>
        </w:rPr>
        <w:t xml:space="preserve"> will serve or supervise service during the event may purchase additional beverages, as long as the legal limit is observed.</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Catering staff may temporarily store beverages for a few hours before and after an event. Any beverages left longer than 12 hours after an event will be disposed of.</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rPr>
          <w:rFonts w:ascii="Trebuchet MS" w:eastAsiaTheme="minorEastAsia" w:hAnsi="Trebuchet MS"/>
          <w:color w:val="000000"/>
          <w:sz w:val="22"/>
          <w:u w:val="single"/>
        </w:rPr>
      </w:pPr>
      <w:r w:rsidRPr="00007EBA">
        <w:rPr>
          <w:rFonts w:ascii="Trebuchet MS" w:eastAsiaTheme="minorEastAsia" w:hAnsi="Trebuchet MS"/>
          <w:color w:val="000000"/>
          <w:sz w:val="22"/>
          <w:u w:val="single"/>
        </w:rPr>
        <w:t>Conditions</w:t>
      </w:r>
    </w:p>
    <w:p w:rsidR="00007EBA" w:rsidRPr="00007EBA" w:rsidRDefault="00007EBA" w:rsidP="00007EBA">
      <w:pPr>
        <w:spacing w:after="0"/>
        <w:ind w:left="450"/>
        <w:rPr>
          <w:rFonts w:ascii="Trebuchet MS" w:eastAsiaTheme="minorEastAsia" w:hAnsi="Trebuchet MS"/>
          <w:color w:val="000000"/>
          <w:sz w:val="22"/>
          <w:u w:val="single"/>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Hosts must be present when beverages are served and consumed.</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Event guests must be specifically invited. Events may not be open to the public.</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Guests must consume beverages only in the interior of the building, not on the patio, lawn, or other areas outside the building.</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Guests may bring their own beverages but must also abide by legal possession limits*.</w:t>
      </w:r>
    </w:p>
    <w:p w:rsidR="00007EBA" w:rsidRPr="00007EBA" w:rsidRDefault="00007EBA" w:rsidP="00007EBA">
      <w:pPr>
        <w:spacing w:after="0"/>
        <w:ind w:left="45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Hendrix students of any age and under age persons may not be present in the building when beverages are served; this prohibition also applies to student workers.</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rPr>
          <w:rFonts w:ascii="Trebuchet MS" w:eastAsiaTheme="minorEastAsia" w:hAnsi="Trebuchet MS"/>
          <w:color w:val="000000"/>
          <w:sz w:val="22"/>
        </w:rPr>
      </w:pPr>
      <w:r w:rsidRPr="00007EBA">
        <w:rPr>
          <w:rFonts w:ascii="Trebuchet MS" w:eastAsiaTheme="minorEastAsia" w:hAnsi="Trebuchet MS"/>
          <w:color w:val="000000"/>
          <w:sz w:val="22"/>
          <w:u w:val="single"/>
        </w:rPr>
        <w:t>Financial transactions</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ind w:left="450"/>
        <w:rPr>
          <w:rFonts w:ascii="Trebuchet MS" w:eastAsiaTheme="minorEastAsia" w:hAnsi="Trebuchet MS"/>
          <w:color w:val="000000"/>
          <w:sz w:val="22"/>
        </w:rPr>
      </w:pPr>
      <w:r w:rsidRPr="00007EBA">
        <w:rPr>
          <w:rFonts w:ascii="Trebuchet MS" w:eastAsiaTheme="minorEastAsia" w:hAnsi="Trebuchet MS"/>
          <w:color w:val="000000"/>
          <w:sz w:val="22"/>
        </w:rPr>
        <w:t>Hosts and Catering staff may purchase beverages using any of the following methods.</w:t>
      </w:r>
    </w:p>
    <w:p w:rsidR="00007EBA" w:rsidRPr="00007EBA" w:rsidRDefault="00007EBA" w:rsidP="00007EBA">
      <w:pPr>
        <w:spacing w:after="0"/>
        <w:rPr>
          <w:rFonts w:ascii="Trebuchet MS" w:eastAsiaTheme="minorEastAsia" w:hAnsi="Trebuchet MS"/>
          <w:color w:val="000000"/>
          <w:sz w:val="22"/>
        </w:rPr>
      </w:pPr>
    </w:p>
    <w:p w:rsidR="00007EBA" w:rsidRPr="00007EBA" w:rsidRDefault="00007EBA" w:rsidP="00007EBA">
      <w:pPr>
        <w:spacing w:after="0"/>
        <w:ind w:left="720"/>
        <w:rPr>
          <w:rFonts w:ascii="Trebuchet MS" w:eastAsiaTheme="minorEastAsia" w:hAnsi="Trebuchet MS"/>
          <w:color w:val="000000"/>
          <w:sz w:val="22"/>
        </w:rPr>
      </w:pPr>
      <w:r w:rsidRPr="00007EBA">
        <w:rPr>
          <w:rFonts w:ascii="Trebuchet MS" w:eastAsiaTheme="minorEastAsia" w:hAnsi="Trebuchet MS"/>
          <w:color w:val="000000"/>
          <w:sz w:val="22"/>
        </w:rPr>
        <w:t>College credit card</w:t>
      </w:r>
    </w:p>
    <w:p w:rsidR="00007EBA" w:rsidRPr="00007EBA" w:rsidRDefault="00007EBA" w:rsidP="00007EBA">
      <w:pPr>
        <w:spacing w:after="0"/>
        <w:ind w:left="720"/>
        <w:rPr>
          <w:rFonts w:ascii="Trebuchet MS" w:eastAsiaTheme="minorEastAsia" w:hAnsi="Trebuchet MS"/>
          <w:color w:val="000000"/>
          <w:sz w:val="22"/>
        </w:rPr>
      </w:pPr>
    </w:p>
    <w:p w:rsidR="00007EBA" w:rsidRPr="00007EBA" w:rsidRDefault="00007EBA" w:rsidP="00007EBA">
      <w:pPr>
        <w:spacing w:after="0"/>
        <w:ind w:left="720"/>
        <w:rPr>
          <w:rFonts w:ascii="Trebuchet MS" w:eastAsiaTheme="minorEastAsia" w:hAnsi="Trebuchet MS"/>
          <w:color w:val="000000"/>
          <w:sz w:val="22"/>
        </w:rPr>
      </w:pPr>
      <w:r w:rsidRPr="00007EBA">
        <w:rPr>
          <w:rFonts w:ascii="Trebuchet MS" w:eastAsiaTheme="minorEastAsia" w:hAnsi="Trebuchet MS"/>
          <w:color w:val="000000"/>
          <w:sz w:val="22"/>
        </w:rPr>
        <w:t>Personal credit card</w:t>
      </w:r>
    </w:p>
    <w:p w:rsidR="00007EBA" w:rsidRPr="00007EBA" w:rsidRDefault="00007EBA" w:rsidP="00007EBA">
      <w:pPr>
        <w:spacing w:after="0"/>
        <w:ind w:left="720"/>
        <w:rPr>
          <w:rFonts w:ascii="Trebuchet MS" w:eastAsiaTheme="minorEastAsia" w:hAnsi="Trebuchet MS"/>
          <w:color w:val="000000"/>
          <w:sz w:val="22"/>
        </w:rPr>
      </w:pPr>
    </w:p>
    <w:p w:rsidR="00007EBA" w:rsidRPr="00007EBA" w:rsidRDefault="00007EBA" w:rsidP="00007EBA">
      <w:pPr>
        <w:spacing w:after="0"/>
        <w:ind w:left="720"/>
        <w:rPr>
          <w:rFonts w:ascii="Trebuchet MS" w:eastAsiaTheme="minorEastAsia" w:hAnsi="Trebuchet MS"/>
          <w:color w:val="000000"/>
          <w:sz w:val="22"/>
        </w:rPr>
      </w:pPr>
      <w:r w:rsidRPr="00007EBA">
        <w:rPr>
          <w:rFonts w:ascii="Trebuchet MS" w:eastAsiaTheme="minorEastAsia" w:hAnsi="Trebuchet MS"/>
          <w:color w:val="000000"/>
          <w:sz w:val="22"/>
        </w:rPr>
        <w:t>Cash advance</w:t>
      </w:r>
    </w:p>
    <w:p w:rsidR="00007EBA" w:rsidRPr="00007EBA" w:rsidRDefault="00007EBA" w:rsidP="00007EBA">
      <w:pPr>
        <w:spacing w:after="0"/>
        <w:ind w:left="720"/>
        <w:rPr>
          <w:rFonts w:ascii="Trebuchet MS" w:eastAsiaTheme="minorEastAsia" w:hAnsi="Trebuchet MS"/>
          <w:color w:val="000000"/>
          <w:sz w:val="22"/>
        </w:rPr>
      </w:pPr>
    </w:p>
    <w:p w:rsidR="00007EBA" w:rsidRPr="00007EBA" w:rsidRDefault="00007EBA" w:rsidP="00007EBA">
      <w:pPr>
        <w:spacing w:after="0"/>
        <w:ind w:left="720"/>
        <w:rPr>
          <w:rFonts w:ascii="Trebuchet MS" w:eastAsiaTheme="minorEastAsia" w:hAnsi="Trebuchet MS"/>
          <w:color w:val="000000"/>
          <w:sz w:val="22"/>
        </w:rPr>
      </w:pPr>
      <w:r w:rsidRPr="00007EBA">
        <w:rPr>
          <w:rFonts w:ascii="Trebuchet MS" w:eastAsiaTheme="minorEastAsia" w:hAnsi="Trebuchet MS"/>
          <w:color w:val="000000"/>
          <w:sz w:val="22"/>
        </w:rPr>
        <w:t xml:space="preserve">Receipts must not be for more than the legal possession limit*: </w:t>
      </w:r>
    </w:p>
    <w:p w:rsidR="00007EBA" w:rsidRPr="00007EBA" w:rsidRDefault="00007EBA" w:rsidP="00007EBA">
      <w:pPr>
        <w:spacing w:after="0"/>
        <w:ind w:left="720"/>
        <w:rPr>
          <w:rFonts w:ascii="Trebuchet MS" w:eastAsiaTheme="minorEastAsia" w:hAnsi="Trebuchet MS"/>
          <w:color w:val="000000"/>
          <w:sz w:val="22"/>
        </w:rPr>
      </w:pPr>
    </w:p>
    <w:p w:rsidR="00007EBA" w:rsidRPr="00007EBA" w:rsidRDefault="00007EBA" w:rsidP="00007EBA">
      <w:pPr>
        <w:spacing w:after="0"/>
        <w:ind w:left="720"/>
        <w:rPr>
          <w:rFonts w:ascii="Trebuchet MS" w:eastAsiaTheme="minorEastAsia" w:hAnsi="Trebuchet MS"/>
          <w:color w:val="000000"/>
          <w:sz w:val="22"/>
        </w:rPr>
      </w:pPr>
      <w:r w:rsidRPr="00007EBA">
        <w:rPr>
          <w:rFonts w:ascii="Trebuchet MS" w:eastAsiaTheme="minorEastAsia" w:hAnsi="Trebuchet MS"/>
          <w:color w:val="000000"/>
          <w:sz w:val="22"/>
        </w:rPr>
        <w:t>Reimbursement should be from the appropriate College account.</w:t>
      </w:r>
    </w:p>
    <w:p w:rsidR="00007EBA" w:rsidRDefault="00007EBA" w:rsidP="00007EBA">
      <w:pPr>
        <w:spacing w:after="0"/>
        <w:rPr>
          <w:rFonts w:ascii="Trebuchet MS" w:eastAsiaTheme="minorEastAsia" w:hAnsi="Trebuchet MS"/>
          <w:b/>
          <w:i/>
          <w:color w:val="000000"/>
          <w:sz w:val="20"/>
        </w:rPr>
      </w:pPr>
    </w:p>
    <w:p w:rsidR="00007EBA" w:rsidRPr="00007EBA" w:rsidRDefault="00007EBA" w:rsidP="00007EBA">
      <w:pPr>
        <w:spacing w:after="0"/>
        <w:rPr>
          <w:rFonts w:ascii="Trebuchet MS" w:eastAsiaTheme="minorEastAsia" w:hAnsi="Trebuchet MS"/>
          <w:b/>
          <w:i/>
          <w:color w:val="000000"/>
          <w:sz w:val="20"/>
        </w:rPr>
      </w:pPr>
      <w:r>
        <w:rPr>
          <w:rFonts w:ascii="Trebuchet MS" w:eastAsiaTheme="minorEastAsia" w:hAnsi="Trebuchet MS"/>
          <w:b/>
          <w:i/>
          <w:color w:val="000000"/>
          <w:sz w:val="20"/>
        </w:rPr>
        <w:t xml:space="preserve">* </w:t>
      </w:r>
      <w:r w:rsidRPr="00007EBA">
        <w:rPr>
          <w:rFonts w:ascii="Trebuchet MS" w:eastAsiaTheme="minorEastAsia" w:hAnsi="Trebuchet MS"/>
          <w:b/>
          <w:i/>
          <w:color w:val="000000"/>
          <w:sz w:val="20"/>
        </w:rPr>
        <w:t>Legal limit for one individual or one vehicle is one gallon of wine OR spirits AND three gallons of beer, which translates into five fifth-size bottles of wine OR spirits AND a case of 12-oz. beers. This limit also applies to a single vehicle, no matter how many persons occupy the vehicle.</w:t>
      </w:r>
    </w:p>
    <w:sectPr w:rsidR="00007EBA" w:rsidRPr="00007EBA" w:rsidSect="00007EBA">
      <w:pgSz w:w="12240" w:h="15840"/>
      <w:pgMar w:top="1152" w:right="1152" w:bottom="1152" w:left="1152"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Trebuchet MS">
    <w:panose1 w:val="020B060302020202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07EBA"/>
    <w:rsid w:val="00007EB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7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07EB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Word 12.1.2</Application>
  <DocSecurity>0</DocSecurity>
  <Lines>1</Lines>
  <Paragraphs>1</Paragraphs>
  <ScaleCrop>false</ScaleCrop>
  <LinksUpToDate>false</LinksUpToDate>
  <CharactersWithSpaces>0</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Henryetta Vanaman</dc:creator>
  <cp:keywords/>
  <cp:lastModifiedBy>Henryetta Vanaman</cp:lastModifiedBy>
  <cp:revision>1</cp:revision>
  <dcterms:created xsi:type="dcterms:W3CDTF">2010-09-27T20:50:00Z</dcterms:created>
  <dcterms:modified xsi:type="dcterms:W3CDTF">2010-09-27T21:18:00Z</dcterms:modified>
</cp:coreProperties>
</file>